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7BCBB" w14:textId="642DCD47" w:rsidR="002E75E5" w:rsidRPr="002E75E5" w:rsidRDefault="00864A24" w:rsidP="002E75E5">
      <w:pPr>
        <w:widowControl/>
        <w:jc w:val="center"/>
      </w:pPr>
      <w:r w:rsidRPr="002E75E5">
        <w:rPr>
          <w:rFonts w:eastAsia="新細明體"/>
          <w:b/>
          <w:bCs/>
          <w:kern w:val="0"/>
          <w:sz w:val="32"/>
          <w:szCs w:val="32"/>
        </w:rPr>
        <w:t>Chung Yuan Christian University</w:t>
      </w:r>
      <w:r>
        <w:rPr>
          <w:rFonts w:eastAsia="新細明體"/>
          <w:b/>
          <w:bCs/>
          <w:kern w:val="0"/>
          <w:sz w:val="32"/>
          <w:szCs w:val="32"/>
        </w:rPr>
        <w:t>,</w:t>
      </w:r>
      <w:r w:rsidRPr="002E75E5">
        <w:rPr>
          <w:rFonts w:eastAsia="新細明體"/>
          <w:b/>
          <w:bCs/>
          <w:kern w:val="0"/>
          <w:sz w:val="32"/>
          <w:szCs w:val="32"/>
        </w:rPr>
        <w:t xml:space="preserve"> College of Humanities and Education</w:t>
      </w:r>
      <w:r>
        <w:rPr>
          <w:rFonts w:eastAsia="新細明體"/>
          <w:b/>
          <w:bCs/>
          <w:kern w:val="0"/>
          <w:sz w:val="32"/>
          <w:szCs w:val="32"/>
        </w:rPr>
        <w:t>,</w:t>
      </w:r>
      <w:r w:rsidRPr="002E75E5">
        <w:rPr>
          <w:rFonts w:eastAsia="新細明體"/>
          <w:b/>
          <w:bCs/>
          <w:kern w:val="0"/>
          <w:sz w:val="32"/>
          <w:szCs w:val="32"/>
        </w:rPr>
        <w:t xml:space="preserve"> </w:t>
      </w:r>
      <w:r w:rsidR="002E75E5" w:rsidRPr="002E75E5">
        <w:rPr>
          <w:rFonts w:eastAsia="新細明體"/>
          <w:b/>
          <w:bCs/>
          <w:kern w:val="0"/>
          <w:sz w:val="32"/>
          <w:szCs w:val="32"/>
        </w:rPr>
        <w:t xml:space="preserve">Guidelines for Establishment of Curriculum Committee </w:t>
      </w:r>
    </w:p>
    <w:p w14:paraId="6C904A57" w14:textId="52BF35CD" w:rsidR="00B778F0" w:rsidRDefault="002E75E5" w:rsidP="002807F6">
      <w:pPr>
        <w:widowControl/>
        <w:jc w:val="right"/>
        <w:rPr>
          <w:rFonts w:eastAsia="新細明體"/>
          <w:kern w:val="0"/>
          <w:sz w:val="18"/>
          <w:szCs w:val="18"/>
        </w:rPr>
      </w:pPr>
      <w:r w:rsidRPr="002E75E5">
        <w:rPr>
          <w:rFonts w:eastAsia="新細明體"/>
          <w:kern w:val="0"/>
          <w:sz w:val="18"/>
          <w:szCs w:val="18"/>
        </w:rPr>
        <w:t>Approved on June 24, 2008, at the 96-2-1 College Affairs Meeting</w:t>
      </w:r>
      <w:r w:rsidRPr="002E75E5">
        <w:rPr>
          <w:rFonts w:eastAsia="新細明體"/>
          <w:kern w:val="0"/>
          <w:sz w:val="18"/>
          <w:szCs w:val="18"/>
        </w:rPr>
        <w:br/>
        <w:t>Amended on March 3, 2010, at the 98-2-1 College Affairs Meeting</w:t>
      </w:r>
      <w:r w:rsidRPr="002E75E5">
        <w:rPr>
          <w:rFonts w:eastAsia="新細明體"/>
          <w:kern w:val="0"/>
          <w:sz w:val="18"/>
          <w:szCs w:val="18"/>
        </w:rPr>
        <w:br/>
        <w:t>Amended on May 11, 2011, at the 99-2-2 College Affairs Meeting</w:t>
      </w:r>
    </w:p>
    <w:p w14:paraId="0C7FE573" w14:textId="78AB244B" w:rsidR="002807F6" w:rsidRPr="002E75E5" w:rsidRDefault="002807F6" w:rsidP="002807F6">
      <w:pPr>
        <w:widowControl/>
        <w:jc w:val="right"/>
        <w:rPr>
          <w:rFonts w:eastAsia="新細明體"/>
          <w:kern w:val="0"/>
          <w:sz w:val="18"/>
          <w:szCs w:val="18"/>
        </w:rPr>
      </w:pPr>
      <w:r>
        <w:rPr>
          <w:rFonts w:eastAsia="新細明體"/>
          <w:kern w:val="0"/>
          <w:sz w:val="18"/>
          <w:szCs w:val="18"/>
        </w:rPr>
        <w:t xml:space="preserve">Amended on </w:t>
      </w:r>
      <w:r w:rsidRPr="002807F6">
        <w:rPr>
          <w:rFonts w:eastAsia="新細明體"/>
          <w:kern w:val="0"/>
          <w:sz w:val="18"/>
          <w:szCs w:val="18"/>
        </w:rPr>
        <w:t>December</w:t>
      </w:r>
      <w:r>
        <w:rPr>
          <w:rFonts w:eastAsia="新細明體"/>
          <w:kern w:val="0"/>
          <w:sz w:val="18"/>
          <w:szCs w:val="18"/>
        </w:rPr>
        <w:t xml:space="preserve"> 31, 2011, at </w:t>
      </w:r>
      <w:bookmarkStart w:id="0" w:name="_GoBack"/>
      <w:bookmarkEnd w:id="0"/>
      <w:r>
        <w:rPr>
          <w:rFonts w:eastAsia="新細明體"/>
          <w:kern w:val="0"/>
          <w:sz w:val="18"/>
          <w:szCs w:val="18"/>
        </w:rPr>
        <w:t>the 113-1-1</w:t>
      </w:r>
      <w:r w:rsidRPr="002E75E5">
        <w:rPr>
          <w:rFonts w:eastAsia="新細明體"/>
          <w:kern w:val="0"/>
          <w:sz w:val="18"/>
          <w:szCs w:val="18"/>
        </w:rPr>
        <w:t xml:space="preserve"> College Affairs Meeting</w:t>
      </w:r>
    </w:p>
    <w:p w14:paraId="7680E7D5" w14:textId="77777777" w:rsidR="00B778F0" w:rsidRPr="00BF5FE7" w:rsidRDefault="00B778F0" w:rsidP="00BF5FE7">
      <w:pPr>
        <w:widowControl/>
        <w:spacing w:before="100" w:beforeAutospacing="1" w:after="100" w:afterAutospacing="1"/>
        <w:contextualSpacing/>
        <w:rPr>
          <w:rFonts w:eastAsia="新細明體"/>
          <w:kern w:val="0"/>
        </w:rPr>
      </w:pPr>
      <w:r>
        <w:rPr>
          <w:rFonts w:eastAsia="新細明體"/>
          <w:kern w:val="0"/>
        </w:rPr>
        <w:t>Article 1</w:t>
      </w:r>
    </w:p>
    <w:p w14:paraId="60E48C4A" w14:textId="3AE6E12E" w:rsidR="00E03FF0" w:rsidRDefault="00E03FF0" w:rsidP="00E03FF0">
      <w:pPr>
        <w:tabs>
          <w:tab w:val="left" w:pos="1274"/>
        </w:tabs>
        <w:jc w:val="both"/>
      </w:pPr>
      <w:r>
        <w:t>The College of Humanities and Education at Chung Yuan Christian University (hereinafter referred to as "the College") establishes the College of Humanities and Education Curriculum Committee (hereinafter referred to as "the Committee") in accordance with Article 6 of the Regulations for the Establishment of University-Level Curriculum Committees at Chung Yuan Christian University. Furthermore, the Guidelines for the Establishment of the College of Humanities and Education Curriculum Committee at Chung Yuan Christian University (hereinafter referred to as "the Guidelines") are hereby enacted.</w:t>
      </w:r>
    </w:p>
    <w:p w14:paraId="46596393" w14:textId="77777777" w:rsidR="00E03FF0" w:rsidRPr="00E03FF0" w:rsidRDefault="00E03FF0" w:rsidP="00E03FF0">
      <w:pPr>
        <w:widowControl/>
        <w:spacing w:before="100" w:beforeAutospacing="1" w:after="100" w:afterAutospacing="1"/>
        <w:contextualSpacing/>
        <w:rPr>
          <w:rFonts w:asciiTheme="minorEastAsia" w:eastAsiaTheme="minorEastAsia" w:hAnsiTheme="minorEastAsia"/>
        </w:rPr>
      </w:pPr>
    </w:p>
    <w:p w14:paraId="35085903" w14:textId="77777777" w:rsidR="002E75E5" w:rsidRPr="00BF5FE7" w:rsidRDefault="00B778F0" w:rsidP="00BF5FE7">
      <w:pPr>
        <w:widowControl/>
        <w:spacing w:before="100" w:beforeAutospacing="1" w:after="100" w:afterAutospacing="1"/>
        <w:contextualSpacing/>
        <w:rPr>
          <w:rFonts w:eastAsia="新細明體"/>
          <w:kern w:val="0"/>
        </w:rPr>
      </w:pPr>
      <w:r>
        <w:rPr>
          <w:rFonts w:eastAsia="新細明體"/>
          <w:kern w:val="0"/>
        </w:rPr>
        <w:t>Article 2</w:t>
      </w:r>
    </w:p>
    <w:p w14:paraId="1C4BA78D" w14:textId="77777777" w:rsidR="002E75E5" w:rsidRDefault="002E75E5" w:rsidP="00B778F0">
      <w:pPr>
        <w:widowControl/>
        <w:spacing w:before="100" w:beforeAutospacing="1" w:after="100" w:afterAutospacing="1"/>
        <w:contextualSpacing/>
        <w:rPr>
          <w:rFonts w:eastAsia="新細明體"/>
          <w:kern w:val="0"/>
        </w:rPr>
      </w:pPr>
      <w:r w:rsidRPr="002E75E5">
        <w:rPr>
          <w:rFonts w:eastAsia="新細明體"/>
          <w:kern w:val="0"/>
        </w:rPr>
        <w:t>The Committee comprises the Dean, the heads of each department (or institute or center), and one faculty representative from each department (or institute or center).</w:t>
      </w:r>
    </w:p>
    <w:p w14:paraId="1D678F70" w14:textId="77777777" w:rsidR="00B778F0" w:rsidRPr="002E75E5" w:rsidRDefault="00B778F0" w:rsidP="00BF5FE7">
      <w:pPr>
        <w:widowControl/>
        <w:spacing w:before="100" w:beforeAutospacing="1" w:after="100" w:afterAutospacing="1"/>
        <w:contextualSpacing/>
        <w:rPr>
          <w:rFonts w:eastAsia="新細明體"/>
          <w:kern w:val="0"/>
        </w:rPr>
      </w:pPr>
    </w:p>
    <w:p w14:paraId="28F66C8B" w14:textId="77777777" w:rsidR="002E75E5" w:rsidRDefault="002E75E5" w:rsidP="00B778F0">
      <w:pPr>
        <w:widowControl/>
        <w:spacing w:before="100" w:beforeAutospacing="1" w:after="100" w:afterAutospacing="1"/>
        <w:contextualSpacing/>
        <w:rPr>
          <w:rFonts w:eastAsia="新細明體"/>
          <w:kern w:val="0"/>
        </w:rPr>
      </w:pPr>
      <w:r w:rsidRPr="002E75E5">
        <w:rPr>
          <w:rFonts w:eastAsia="新細明體"/>
          <w:kern w:val="0"/>
        </w:rPr>
        <w:t>Faculty representatives should preferably be associate professors or senior assistant professors with more than three years of service at the university.</w:t>
      </w:r>
    </w:p>
    <w:p w14:paraId="10AED476" w14:textId="77777777" w:rsidR="00B778F0" w:rsidRPr="002E75E5" w:rsidRDefault="00B778F0" w:rsidP="00BF5FE7">
      <w:pPr>
        <w:widowControl/>
        <w:spacing w:before="100" w:beforeAutospacing="1" w:after="100" w:afterAutospacing="1"/>
        <w:contextualSpacing/>
        <w:rPr>
          <w:rFonts w:eastAsia="新細明體"/>
          <w:kern w:val="0"/>
        </w:rPr>
      </w:pPr>
    </w:p>
    <w:p w14:paraId="1E195CAE" w14:textId="77777777" w:rsidR="002E75E5" w:rsidRDefault="002E75E5" w:rsidP="00B778F0">
      <w:pPr>
        <w:widowControl/>
        <w:spacing w:before="100" w:beforeAutospacing="1" w:after="100" w:afterAutospacing="1"/>
        <w:contextualSpacing/>
        <w:rPr>
          <w:rFonts w:eastAsia="新細明體"/>
          <w:kern w:val="0"/>
        </w:rPr>
      </w:pPr>
      <w:r w:rsidRPr="002E75E5">
        <w:rPr>
          <w:rFonts w:eastAsia="新細明體"/>
          <w:kern w:val="0"/>
        </w:rPr>
        <w:t>The Dean serves as the chairperson of the Committee.</w:t>
      </w:r>
    </w:p>
    <w:p w14:paraId="4E054053" w14:textId="77777777" w:rsidR="00B778F0" w:rsidRPr="002E75E5" w:rsidRDefault="00B778F0" w:rsidP="00BF5FE7">
      <w:pPr>
        <w:widowControl/>
        <w:spacing w:before="100" w:beforeAutospacing="1" w:after="100" w:afterAutospacing="1"/>
        <w:contextualSpacing/>
        <w:rPr>
          <w:rFonts w:eastAsia="新細明體"/>
          <w:kern w:val="0"/>
        </w:rPr>
      </w:pPr>
    </w:p>
    <w:p w14:paraId="3A818413" w14:textId="77777777" w:rsidR="00B778F0" w:rsidRPr="00BF5FE7" w:rsidRDefault="00B778F0" w:rsidP="00BF5FE7">
      <w:pPr>
        <w:widowControl/>
        <w:spacing w:before="100" w:beforeAutospacing="1" w:after="100" w:afterAutospacing="1"/>
        <w:contextualSpacing/>
        <w:rPr>
          <w:rFonts w:eastAsia="新細明體"/>
          <w:kern w:val="0"/>
        </w:rPr>
      </w:pPr>
      <w:r>
        <w:rPr>
          <w:rFonts w:eastAsia="新細明體"/>
          <w:kern w:val="0"/>
        </w:rPr>
        <w:t>Article 3</w:t>
      </w:r>
    </w:p>
    <w:p w14:paraId="15B4912A" w14:textId="77777777" w:rsidR="002E75E5" w:rsidRDefault="002E75E5" w:rsidP="00B778F0">
      <w:pPr>
        <w:widowControl/>
        <w:spacing w:before="100" w:beforeAutospacing="1" w:after="100" w:afterAutospacing="1"/>
        <w:contextualSpacing/>
        <w:rPr>
          <w:rFonts w:eastAsia="新細明體"/>
          <w:kern w:val="0"/>
        </w:rPr>
      </w:pPr>
      <w:r w:rsidRPr="002E75E5">
        <w:rPr>
          <w:rFonts w:eastAsia="新細明體"/>
          <w:kern w:val="0"/>
        </w:rPr>
        <w:t>The Committee may invite several scholars, experts from within or outside the university, industry professionals, alumni, and current students to participate in curriculum discussions as needed.</w:t>
      </w:r>
    </w:p>
    <w:p w14:paraId="4B31BDF1" w14:textId="77777777" w:rsidR="00B778F0" w:rsidRPr="002E75E5" w:rsidRDefault="00B778F0" w:rsidP="00BF5FE7">
      <w:pPr>
        <w:widowControl/>
        <w:spacing w:before="100" w:beforeAutospacing="1" w:after="100" w:afterAutospacing="1"/>
        <w:contextualSpacing/>
        <w:rPr>
          <w:rFonts w:eastAsia="新細明體"/>
          <w:kern w:val="0"/>
        </w:rPr>
      </w:pPr>
    </w:p>
    <w:p w14:paraId="4E509D8B" w14:textId="77777777" w:rsidR="002E75E5" w:rsidRPr="00BF5FE7" w:rsidRDefault="00B778F0" w:rsidP="00BF5FE7">
      <w:pPr>
        <w:widowControl/>
        <w:spacing w:before="100" w:beforeAutospacing="1" w:after="100" w:afterAutospacing="1"/>
        <w:contextualSpacing/>
        <w:rPr>
          <w:rFonts w:eastAsia="新細明體"/>
          <w:bCs/>
          <w:kern w:val="0"/>
        </w:rPr>
      </w:pPr>
      <w:r>
        <w:rPr>
          <w:rFonts w:eastAsia="新細明體"/>
          <w:bCs/>
          <w:kern w:val="0"/>
        </w:rPr>
        <w:t>Article 4</w:t>
      </w:r>
    </w:p>
    <w:p w14:paraId="05B8B2EB" w14:textId="77777777" w:rsidR="002E75E5" w:rsidRDefault="002E75E5" w:rsidP="002E75E5">
      <w:pPr>
        <w:widowControl/>
        <w:spacing w:before="100" w:beforeAutospacing="1" w:after="100" w:afterAutospacing="1"/>
        <w:rPr>
          <w:rFonts w:eastAsia="新細明體"/>
          <w:kern w:val="0"/>
        </w:rPr>
      </w:pPr>
      <w:r w:rsidRPr="002E75E5">
        <w:rPr>
          <w:rFonts w:eastAsia="新細明體"/>
          <w:bCs/>
          <w:kern w:val="0"/>
        </w:rPr>
        <w:t>Responsibilities of the Committee</w:t>
      </w:r>
      <w:r w:rsidRPr="002E75E5">
        <w:rPr>
          <w:rFonts w:eastAsia="新細明體"/>
          <w:b/>
          <w:bCs/>
          <w:kern w:val="0"/>
        </w:rPr>
        <w:t>:</w:t>
      </w:r>
    </w:p>
    <w:p w14:paraId="19B4978C" w14:textId="77777777" w:rsidR="002E75E5" w:rsidRPr="002E75E5" w:rsidRDefault="002E75E5" w:rsidP="002E75E5">
      <w:pPr>
        <w:pStyle w:val="a6"/>
        <w:widowControl/>
        <w:numPr>
          <w:ilvl w:val="0"/>
          <w:numId w:val="18"/>
        </w:numPr>
        <w:spacing w:before="100" w:beforeAutospacing="1" w:after="100" w:afterAutospacing="1"/>
        <w:ind w:leftChars="0"/>
        <w:rPr>
          <w:rFonts w:eastAsia="新細明體"/>
          <w:kern w:val="0"/>
        </w:rPr>
      </w:pPr>
      <w:r w:rsidRPr="002E75E5">
        <w:rPr>
          <w:rFonts w:eastAsia="新細明體"/>
          <w:kern w:val="0"/>
        </w:rPr>
        <w:t>Formulating the principles for curriculum design and setting review periods.</w:t>
      </w:r>
    </w:p>
    <w:p w14:paraId="402695D9" w14:textId="77777777" w:rsidR="002E75E5" w:rsidRPr="002E75E5" w:rsidRDefault="002E75E5" w:rsidP="002E75E5">
      <w:pPr>
        <w:pStyle w:val="a6"/>
        <w:widowControl/>
        <w:numPr>
          <w:ilvl w:val="0"/>
          <w:numId w:val="18"/>
        </w:numPr>
        <w:spacing w:before="100" w:beforeAutospacing="1" w:after="100" w:afterAutospacing="1"/>
        <w:ind w:leftChars="0"/>
        <w:rPr>
          <w:rFonts w:eastAsia="新細明體"/>
          <w:kern w:val="0"/>
        </w:rPr>
      </w:pPr>
      <w:r w:rsidRPr="002E75E5">
        <w:rPr>
          <w:rFonts w:eastAsia="新細明體"/>
          <w:kern w:val="0"/>
        </w:rPr>
        <w:t>Reviewing required courses for each department.</w:t>
      </w:r>
    </w:p>
    <w:p w14:paraId="234F8452" w14:textId="77777777" w:rsidR="002E75E5" w:rsidRPr="002E75E5" w:rsidRDefault="002E75E5" w:rsidP="002E75E5">
      <w:pPr>
        <w:pStyle w:val="a6"/>
        <w:widowControl/>
        <w:numPr>
          <w:ilvl w:val="0"/>
          <w:numId w:val="18"/>
        </w:numPr>
        <w:spacing w:before="100" w:beforeAutospacing="1" w:after="100" w:afterAutospacing="1"/>
        <w:ind w:leftChars="0"/>
        <w:rPr>
          <w:rFonts w:eastAsia="新細明體"/>
          <w:kern w:val="0"/>
        </w:rPr>
      </w:pPr>
      <w:r w:rsidRPr="002E75E5">
        <w:rPr>
          <w:rFonts w:eastAsia="新細明體"/>
          <w:kern w:val="0"/>
        </w:rPr>
        <w:t>Reviewing cross-departmental programs and general education courses related to the College.</w:t>
      </w:r>
    </w:p>
    <w:p w14:paraId="3C93F323" w14:textId="77777777" w:rsidR="002E75E5" w:rsidRPr="002E75E5" w:rsidRDefault="002E75E5" w:rsidP="002E75E5">
      <w:pPr>
        <w:pStyle w:val="a6"/>
        <w:widowControl/>
        <w:numPr>
          <w:ilvl w:val="0"/>
          <w:numId w:val="18"/>
        </w:numPr>
        <w:spacing w:before="100" w:beforeAutospacing="1" w:after="100" w:afterAutospacing="1"/>
        <w:ind w:leftChars="0"/>
        <w:rPr>
          <w:rFonts w:eastAsia="新細明體"/>
          <w:kern w:val="0"/>
        </w:rPr>
      </w:pPr>
      <w:r w:rsidRPr="002E75E5">
        <w:rPr>
          <w:rFonts w:eastAsia="新細明體"/>
          <w:kern w:val="0"/>
        </w:rPr>
        <w:t>Reviewing the principles for offering courses across the College.</w:t>
      </w:r>
    </w:p>
    <w:p w14:paraId="12E36C25" w14:textId="77777777" w:rsidR="002E75E5" w:rsidRPr="002E75E5" w:rsidRDefault="002E75E5" w:rsidP="002E75E5">
      <w:pPr>
        <w:pStyle w:val="a6"/>
        <w:widowControl/>
        <w:numPr>
          <w:ilvl w:val="0"/>
          <w:numId w:val="18"/>
        </w:numPr>
        <w:spacing w:before="100" w:beforeAutospacing="1" w:after="100" w:afterAutospacing="1"/>
        <w:ind w:leftChars="0"/>
        <w:rPr>
          <w:rFonts w:eastAsia="新細明體"/>
          <w:kern w:val="0"/>
        </w:rPr>
      </w:pPr>
      <w:r w:rsidRPr="002E75E5">
        <w:rPr>
          <w:rFonts w:eastAsia="新細明體"/>
          <w:kern w:val="0"/>
        </w:rPr>
        <w:t>Reviewing the curriculum structure across the College.</w:t>
      </w:r>
    </w:p>
    <w:p w14:paraId="39B88688" w14:textId="77777777" w:rsidR="002E75E5" w:rsidRPr="002E75E5" w:rsidRDefault="002E75E5" w:rsidP="002E75E5">
      <w:pPr>
        <w:pStyle w:val="a6"/>
        <w:widowControl/>
        <w:numPr>
          <w:ilvl w:val="0"/>
          <w:numId w:val="18"/>
        </w:numPr>
        <w:spacing w:before="100" w:beforeAutospacing="1" w:after="100" w:afterAutospacing="1"/>
        <w:ind w:leftChars="0"/>
        <w:rPr>
          <w:rFonts w:eastAsia="新細明體"/>
          <w:kern w:val="0"/>
        </w:rPr>
      </w:pPr>
      <w:r w:rsidRPr="002E75E5">
        <w:rPr>
          <w:rFonts w:eastAsia="新細明體"/>
          <w:kern w:val="0"/>
        </w:rPr>
        <w:t>Addressing other curriculum-related matters.</w:t>
      </w:r>
    </w:p>
    <w:p w14:paraId="770DE6FF" w14:textId="77777777" w:rsidR="00B778F0" w:rsidRDefault="00B778F0" w:rsidP="00B778F0">
      <w:pPr>
        <w:widowControl/>
        <w:spacing w:before="100" w:beforeAutospacing="1" w:after="100" w:afterAutospacing="1"/>
        <w:contextualSpacing/>
        <w:rPr>
          <w:rFonts w:eastAsia="新細明體"/>
          <w:bCs/>
          <w:kern w:val="0"/>
        </w:rPr>
      </w:pPr>
    </w:p>
    <w:p w14:paraId="6B63AB70" w14:textId="4C2916C7" w:rsidR="002E75E5" w:rsidRPr="002E75E5" w:rsidRDefault="002E75E5" w:rsidP="00BF5FE7">
      <w:pPr>
        <w:widowControl/>
        <w:spacing w:before="100" w:beforeAutospacing="1" w:after="100" w:afterAutospacing="1"/>
        <w:contextualSpacing/>
        <w:rPr>
          <w:rFonts w:eastAsia="新細明體"/>
          <w:kern w:val="0"/>
        </w:rPr>
      </w:pPr>
      <w:r w:rsidRPr="002E75E5">
        <w:rPr>
          <w:rFonts w:eastAsia="新細明體"/>
          <w:bCs/>
          <w:kern w:val="0"/>
        </w:rPr>
        <w:t>Article 4-1</w:t>
      </w:r>
      <w:r w:rsidRPr="002E75E5">
        <w:rPr>
          <w:rFonts w:eastAsia="新細明體"/>
          <w:kern w:val="0"/>
        </w:rPr>
        <w:t xml:space="preserve"> </w:t>
      </w:r>
    </w:p>
    <w:p w14:paraId="69B4C99E" w14:textId="5F5B9F0B" w:rsidR="002E75E5" w:rsidRPr="002E75E5" w:rsidRDefault="002E75E5" w:rsidP="002E75E5">
      <w:pPr>
        <w:widowControl/>
        <w:spacing w:before="100" w:beforeAutospacing="1" w:after="100" w:afterAutospacing="1"/>
        <w:rPr>
          <w:rFonts w:eastAsia="新細明體"/>
          <w:kern w:val="0"/>
        </w:rPr>
      </w:pPr>
      <w:r w:rsidRPr="002E75E5">
        <w:rPr>
          <w:rFonts w:eastAsia="新細明體"/>
          <w:kern w:val="0"/>
        </w:rPr>
        <w:lastRenderedPageBreak/>
        <w:t xml:space="preserve">Each academic unit within the College should conduct an external curriculum structure review at least once every four years to comprehensively evaluate the appropriateness and relevance of departmental (or institute/center) educational goals, core competency indicators for students, and curriculum structure. This review also examines the alignment between faculty expertise and their </w:t>
      </w:r>
      <w:r w:rsidR="00B778F0">
        <w:rPr>
          <w:rFonts w:eastAsia="新細明體"/>
          <w:kern w:val="0"/>
        </w:rPr>
        <w:t>course offerings</w:t>
      </w:r>
      <w:r w:rsidRPr="002E75E5">
        <w:rPr>
          <w:rFonts w:eastAsia="新細明體"/>
          <w:kern w:val="0"/>
        </w:rPr>
        <w:t>.</w:t>
      </w:r>
    </w:p>
    <w:p w14:paraId="57A79BD2" w14:textId="77777777" w:rsidR="002E75E5" w:rsidRPr="00BF5FE7" w:rsidRDefault="00B778F0" w:rsidP="00BF5FE7">
      <w:pPr>
        <w:widowControl/>
        <w:spacing w:before="100" w:beforeAutospacing="1" w:after="100" w:afterAutospacing="1"/>
        <w:contextualSpacing/>
        <w:rPr>
          <w:rFonts w:eastAsia="新細明體"/>
          <w:kern w:val="0"/>
        </w:rPr>
      </w:pPr>
      <w:r>
        <w:rPr>
          <w:rFonts w:eastAsia="新細明體"/>
          <w:kern w:val="0"/>
        </w:rPr>
        <w:t>Article 5</w:t>
      </w:r>
    </w:p>
    <w:p w14:paraId="5411B6EE" w14:textId="77777777" w:rsidR="002E75E5" w:rsidRDefault="002E75E5" w:rsidP="00B778F0">
      <w:pPr>
        <w:widowControl/>
        <w:spacing w:before="100" w:beforeAutospacing="1" w:after="100" w:afterAutospacing="1"/>
        <w:contextualSpacing/>
        <w:rPr>
          <w:rFonts w:eastAsia="新細明體"/>
          <w:kern w:val="0"/>
        </w:rPr>
      </w:pPr>
      <w:r w:rsidRPr="002E75E5">
        <w:rPr>
          <w:rFonts w:eastAsia="新細明體"/>
          <w:kern w:val="0"/>
        </w:rPr>
        <w:t>The Committee shall convene at least once per semester. Cases approved by the Committee are submitted to the University Curriculum Committee for further review.</w:t>
      </w:r>
    </w:p>
    <w:p w14:paraId="46A3BB07" w14:textId="77777777" w:rsidR="00B778F0" w:rsidRPr="002E75E5" w:rsidRDefault="00B778F0" w:rsidP="00BF5FE7">
      <w:pPr>
        <w:widowControl/>
        <w:spacing w:before="100" w:beforeAutospacing="1" w:after="100" w:afterAutospacing="1"/>
        <w:contextualSpacing/>
        <w:rPr>
          <w:rFonts w:eastAsia="新細明體"/>
          <w:kern w:val="0"/>
        </w:rPr>
      </w:pPr>
    </w:p>
    <w:p w14:paraId="124ACAF8" w14:textId="77777777" w:rsidR="002E75E5" w:rsidRPr="00BF5FE7" w:rsidRDefault="00B778F0" w:rsidP="00BF5FE7">
      <w:pPr>
        <w:widowControl/>
        <w:spacing w:before="100" w:beforeAutospacing="1" w:after="100" w:afterAutospacing="1"/>
        <w:contextualSpacing/>
        <w:rPr>
          <w:rFonts w:eastAsia="新細明體"/>
          <w:kern w:val="0"/>
        </w:rPr>
      </w:pPr>
      <w:r>
        <w:rPr>
          <w:rFonts w:eastAsia="新細明體"/>
          <w:kern w:val="0"/>
        </w:rPr>
        <w:t>Article 6</w:t>
      </w:r>
    </w:p>
    <w:p w14:paraId="5A595440" w14:textId="77777777" w:rsidR="002E75E5" w:rsidRDefault="002E75E5" w:rsidP="00B778F0">
      <w:pPr>
        <w:widowControl/>
        <w:spacing w:before="100" w:beforeAutospacing="1" w:after="100" w:afterAutospacing="1"/>
        <w:contextualSpacing/>
        <w:rPr>
          <w:rFonts w:eastAsia="新細明體"/>
          <w:kern w:val="0"/>
        </w:rPr>
      </w:pPr>
      <w:r w:rsidRPr="002E75E5">
        <w:rPr>
          <w:rFonts w:eastAsia="新細明體"/>
          <w:kern w:val="0"/>
        </w:rPr>
        <w:t>Relevant personnel may be invited to attend Committee meetings as required by the agenda.</w:t>
      </w:r>
    </w:p>
    <w:p w14:paraId="3001F205" w14:textId="77777777" w:rsidR="00B778F0" w:rsidRPr="002E75E5" w:rsidRDefault="00B778F0" w:rsidP="00BF5FE7">
      <w:pPr>
        <w:widowControl/>
        <w:spacing w:before="100" w:beforeAutospacing="1" w:after="100" w:afterAutospacing="1"/>
        <w:contextualSpacing/>
        <w:rPr>
          <w:rFonts w:eastAsia="新細明體"/>
          <w:kern w:val="0"/>
        </w:rPr>
      </w:pPr>
    </w:p>
    <w:p w14:paraId="55AE6A54" w14:textId="77777777" w:rsidR="002E75E5" w:rsidRPr="00BF5FE7" w:rsidRDefault="00B778F0" w:rsidP="00BF5FE7">
      <w:pPr>
        <w:widowControl/>
        <w:spacing w:before="100" w:beforeAutospacing="1" w:after="100" w:afterAutospacing="1"/>
        <w:contextualSpacing/>
        <w:rPr>
          <w:rFonts w:eastAsia="新細明體"/>
          <w:kern w:val="0"/>
        </w:rPr>
      </w:pPr>
      <w:r>
        <w:rPr>
          <w:rFonts w:eastAsia="新細明體"/>
          <w:kern w:val="0"/>
        </w:rPr>
        <w:t>Article 7</w:t>
      </w:r>
    </w:p>
    <w:p w14:paraId="1F32016B" w14:textId="77777777" w:rsidR="002E75E5" w:rsidRPr="002E75E5" w:rsidRDefault="002E75E5" w:rsidP="00BF5FE7">
      <w:pPr>
        <w:widowControl/>
        <w:spacing w:before="100" w:beforeAutospacing="1" w:after="100" w:afterAutospacing="1"/>
        <w:contextualSpacing/>
        <w:rPr>
          <w:rFonts w:eastAsia="新細明體"/>
          <w:kern w:val="0"/>
        </w:rPr>
      </w:pPr>
      <w:r w:rsidRPr="002E75E5">
        <w:rPr>
          <w:rFonts w:eastAsia="新細明體"/>
          <w:kern w:val="0"/>
        </w:rPr>
        <w:t>These guidelines shall be implemented following approval by the College Affairs Meeting and submission to the Office of Academic Affairs for record-keeping. Amendments shall follow the same process.</w:t>
      </w:r>
    </w:p>
    <w:p w14:paraId="5C6D24BC" w14:textId="77777777" w:rsidR="00363027" w:rsidRPr="002E75E5" w:rsidRDefault="00363027" w:rsidP="00480B74"/>
    <w:sectPr w:rsidR="00363027" w:rsidRPr="002E75E5" w:rsidSect="000B1BDF">
      <w:pgSz w:w="11906" w:h="16838"/>
      <w:pgMar w:top="902" w:right="1259" w:bottom="902"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E74"/>
    <w:multiLevelType w:val="hybridMultilevel"/>
    <w:tmpl w:val="8E9EE61C"/>
    <w:lvl w:ilvl="0" w:tplc="799CE39C">
      <w:start w:val="1"/>
      <w:numFmt w:val="taiwaneseCountingThousand"/>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0A6629"/>
    <w:multiLevelType w:val="hybridMultilevel"/>
    <w:tmpl w:val="0BDE9BB4"/>
    <w:lvl w:ilvl="0" w:tplc="40D49A70">
      <w:start w:val="1"/>
      <w:numFmt w:val="taiwaneseCountingThousand"/>
      <w:lvlText w:val="第%1條"/>
      <w:lvlJc w:val="left"/>
      <w:pPr>
        <w:tabs>
          <w:tab w:val="num" w:pos="1116"/>
        </w:tabs>
        <w:ind w:left="1116" w:hanging="1116"/>
      </w:pPr>
      <w:rPr>
        <w:rFonts w:hint="eastAsia"/>
      </w:rPr>
    </w:lvl>
    <w:lvl w:ilvl="1" w:tplc="D7BE4ECC">
      <w:start w:val="1"/>
      <w:numFmt w:val="taiwaneseCountingThousand"/>
      <w:lvlText w:val="%2、"/>
      <w:lvlJc w:val="left"/>
      <w:pPr>
        <w:tabs>
          <w:tab w:val="num" w:pos="2280"/>
        </w:tabs>
        <w:ind w:left="2280" w:hanging="480"/>
      </w:pPr>
      <w:rPr>
        <w:rFonts w:hint="default"/>
      </w:rPr>
    </w:lvl>
    <w:lvl w:ilvl="2" w:tplc="F260CC42">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713635"/>
    <w:multiLevelType w:val="hybridMultilevel"/>
    <w:tmpl w:val="2CBEBB04"/>
    <w:lvl w:ilvl="0" w:tplc="EA30F15A">
      <w:start w:val="1"/>
      <w:numFmt w:val="taiwaneseCountingThousand"/>
      <w:lvlText w:val="第%1條"/>
      <w:lvlJc w:val="left"/>
      <w:pPr>
        <w:tabs>
          <w:tab w:val="num" w:pos="1128"/>
        </w:tabs>
        <w:ind w:left="1128" w:hanging="1128"/>
      </w:pPr>
      <w:rPr>
        <w:rFonts w:ascii="標楷體" w:hint="eastAsia"/>
      </w:rPr>
    </w:lvl>
    <w:lvl w:ilvl="1" w:tplc="B61CEB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D61247"/>
    <w:multiLevelType w:val="hybridMultilevel"/>
    <w:tmpl w:val="E878C62C"/>
    <w:lvl w:ilvl="0" w:tplc="5536836E">
      <w:start w:val="1"/>
      <w:numFmt w:val="decimal"/>
      <w:lvlText w:val="Article %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2010028"/>
    <w:multiLevelType w:val="hybridMultilevel"/>
    <w:tmpl w:val="83D27D4E"/>
    <w:lvl w:ilvl="0" w:tplc="34A88DAE">
      <w:start w:val="1"/>
      <w:numFmt w:val="taiwaneseCountingThousand"/>
      <w:lvlText w:val="第%1條"/>
      <w:lvlJc w:val="left"/>
      <w:pPr>
        <w:tabs>
          <w:tab w:val="num" w:pos="1272"/>
        </w:tabs>
        <w:ind w:left="1272" w:hanging="127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5E05CA9"/>
    <w:multiLevelType w:val="multilevel"/>
    <w:tmpl w:val="30686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3046F"/>
    <w:multiLevelType w:val="hybridMultilevel"/>
    <w:tmpl w:val="B1EC42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4790"/>
    <w:multiLevelType w:val="hybridMultilevel"/>
    <w:tmpl w:val="95B02FEE"/>
    <w:lvl w:ilvl="0" w:tplc="249A8BB8">
      <w:start w:val="1"/>
      <w:numFmt w:val="taiwaneseCountingThousand"/>
      <w:lvlText w:val="%1、"/>
      <w:lvlJc w:val="left"/>
      <w:pPr>
        <w:tabs>
          <w:tab w:val="num" w:pos="1584"/>
        </w:tabs>
        <w:ind w:left="1584"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1C73C3"/>
    <w:multiLevelType w:val="hybridMultilevel"/>
    <w:tmpl w:val="857C5168"/>
    <w:lvl w:ilvl="0" w:tplc="5536836E">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C9595C"/>
    <w:multiLevelType w:val="singleLevel"/>
    <w:tmpl w:val="1CE60024"/>
    <w:styleLink w:val="WWNum14"/>
    <w:lvl w:ilvl="0">
      <w:start w:val="1"/>
      <w:numFmt w:val="taiwaneseCountingThousand"/>
      <w:lvlText w:val="第%1條"/>
      <w:lvlJc w:val="left"/>
      <w:pPr>
        <w:ind w:left="480" w:hanging="480"/>
      </w:pPr>
      <w:rPr>
        <w:rFonts w:eastAsia="標楷體" w:hint="eastAsia"/>
      </w:rPr>
    </w:lvl>
  </w:abstractNum>
  <w:abstractNum w:abstractNumId="10" w15:restartNumberingAfterBreak="0">
    <w:nsid w:val="5CF91879"/>
    <w:multiLevelType w:val="hybridMultilevel"/>
    <w:tmpl w:val="BCBE4E0E"/>
    <w:lvl w:ilvl="0" w:tplc="62B2AEA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CFE5884"/>
    <w:multiLevelType w:val="hybridMultilevel"/>
    <w:tmpl w:val="A44C9FFC"/>
    <w:lvl w:ilvl="0" w:tplc="5536836E">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6F2D75"/>
    <w:multiLevelType w:val="hybridMultilevel"/>
    <w:tmpl w:val="582290D4"/>
    <w:lvl w:ilvl="0" w:tplc="91E6C798">
      <w:start w:val="1"/>
      <w:numFmt w:val="taiwaneseCountingThousand"/>
      <w:lvlText w:val="%1、"/>
      <w:lvlJc w:val="left"/>
      <w:pPr>
        <w:tabs>
          <w:tab w:val="num" w:pos="1584"/>
        </w:tabs>
        <w:ind w:left="1584" w:hanging="480"/>
      </w:pPr>
      <w:rPr>
        <w:rFonts w:hint="default"/>
        <w:lang w:val="en-US"/>
      </w:rPr>
    </w:lvl>
    <w:lvl w:ilvl="1" w:tplc="04090019" w:tentative="1">
      <w:start w:val="1"/>
      <w:numFmt w:val="ideographTraditional"/>
      <w:lvlText w:val="%2、"/>
      <w:lvlJc w:val="left"/>
      <w:pPr>
        <w:tabs>
          <w:tab w:val="num" w:pos="2064"/>
        </w:tabs>
        <w:ind w:left="2064" w:hanging="480"/>
      </w:pPr>
    </w:lvl>
    <w:lvl w:ilvl="2" w:tplc="0409001B" w:tentative="1">
      <w:start w:val="1"/>
      <w:numFmt w:val="lowerRoman"/>
      <w:lvlText w:val="%3."/>
      <w:lvlJc w:val="right"/>
      <w:pPr>
        <w:tabs>
          <w:tab w:val="num" w:pos="2544"/>
        </w:tabs>
        <w:ind w:left="2544" w:hanging="480"/>
      </w:pPr>
    </w:lvl>
    <w:lvl w:ilvl="3" w:tplc="0409000F" w:tentative="1">
      <w:start w:val="1"/>
      <w:numFmt w:val="decimal"/>
      <w:lvlText w:val="%4."/>
      <w:lvlJc w:val="left"/>
      <w:pPr>
        <w:tabs>
          <w:tab w:val="num" w:pos="3024"/>
        </w:tabs>
        <w:ind w:left="3024" w:hanging="480"/>
      </w:pPr>
    </w:lvl>
    <w:lvl w:ilvl="4" w:tplc="04090019" w:tentative="1">
      <w:start w:val="1"/>
      <w:numFmt w:val="ideographTraditional"/>
      <w:lvlText w:val="%5、"/>
      <w:lvlJc w:val="left"/>
      <w:pPr>
        <w:tabs>
          <w:tab w:val="num" w:pos="3504"/>
        </w:tabs>
        <w:ind w:left="3504" w:hanging="480"/>
      </w:pPr>
    </w:lvl>
    <w:lvl w:ilvl="5" w:tplc="0409001B" w:tentative="1">
      <w:start w:val="1"/>
      <w:numFmt w:val="lowerRoman"/>
      <w:lvlText w:val="%6."/>
      <w:lvlJc w:val="right"/>
      <w:pPr>
        <w:tabs>
          <w:tab w:val="num" w:pos="3984"/>
        </w:tabs>
        <w:ind w:left="3984" w:hanging="480"/>
      </w:pPr>
    </w:lvl>
    <w:lvl w:ilvl="6" w:tplc="0409000F" w:tentative="1">
      <w:start w:val="1"/>
      <w:numFmt w:val="decimal"/>
      <w:lvlText w:val="%7."/>
      <w:lvlJc w:val="left"/>
      <w:pPr>
        <w:tabs>
          <w:tab w:val="num" w:pos="4464"/>
        </w:tabs>
        <w:ind w:left="4464" w:hanging="480"/>
      </w:pPr>
    </w:lvl>
    <w:lvl w:ilvl="7" w:tplc="04090019" w:tentative="1">
      <w:start w:val="1"/>
      <w:numFmt w:val="ideographTraditional"/>
      <w:lvlText w:val="%8、"/>
      <w:lvlJc w:val="left"/>
      <w:pPr>
        <w:tabs>
          <w:tab w:val="num" w:pos="4944"/>
        </w:tabs>
        <w:ind w:left="4944" w:hanging="480"/>
      </w:pPr>
    </w:lvl>
    <w:lvl w:ilvl="8" w:tplc="0409001B" w:tentative="1">
      <w:start w:val="1"/>
      <w:numFmt w:val="lowerRoman"/>
      <w:lvlText w:val="%9."/>
      <w:lvlJc w:val="right"/>
      <w:pPr>
        <w:tabs>
          <w:tab w:val="num" w:pos="5424"/>
        </w:tabs>
        <w:ind w:left="5424" w:hanging="480"/>
      </w:pPr>
    </w:lvl>
  </w:abstractNum>
  <w:abstractNum w:abstractNumId="13" w15:restartNumberingAfterBreak="0">
    <w:nsid w:val="644C794F"/>
    <w:multiLevelType w:val="singleLevel"/>
    <w:tmpl w:val="34A88DAE"/>
    <w:lvl w:ilvl="0">
      <w:start w:val="1"/>
      <w:numFmt w:val="taiwaneseCountingThousand"/>
      <w:lvlText w:val="第%1條"/>
      <w:lvlJc w:val="left"/>
      <w:pPr>
        <w:tabs>
          <w:tab w:val="num" w:pos="1272"/>
        </w:tabs>
        <w:ind w:left="1272" w:hanging="1272"/>
      </w:pPr>
      <w:rPr>
        <w:rFonts w:hint="eastAsia"/>
      </w:rPr>
    </w:lvl>
  </w:abstractNum>
  <w:abstractNum w:abstractNumId="14" w15:restartNumberingAfterBreak="0">
    <w:nsid w:val="667C6EBC"/>
    <w:multiLevelType w:val="singleLevel"/>
    <w:tmpl w:val="B7B8B9A0"/>
    <w:lvl w:ilvl="0">
      <w:start w:val="1"/>
      <w:numFmt w:val="taiwaneseCountingThousand"/>
      <w:lvlText w:val="%1、"/>
      <w:lvlJc w:val="left"/>
      <w:pPr>
        <w:tabs>
          <w:tab w:val="num" w:pos="3900"/>
        </w:tabs>
        <w:ind w:left="3900" w:hanging="480"/>
      </w:pPr>
      <w:rPr>
        <w:rFonts w:hint="default"/>
      </w:rPr>
    </w:lvl>
  </w:abstractNum>
  <w:abstractNum w:abstractNumId="15" w15:restartNumberingAfterBreak="0">
    <w:nsid w:val="736425F8"/>
    <w:multiLevelType w:val="singleLevel"/>
    <w:tmpl w:val="B7B8B9A0"/>
    <w:lvl w:ilvl="0">
      <w:start w:val="1"/>
      <w:numFmt w:val="taiwaneseCountingThousand"/>
      <w:lvlText w:val="%1、"/>
      <w:lvlJc w:val="left"/>
      <w:pPr>
        <w:ind w:left="480" w:hanging="480"/>
      </w:pPr>
      <w:rPr>
        <w:rFonts w:hint="default"/>
      </w:rPr>
    </w:lvl>
  </w:abstractNum>
  <w:abstractNum w:abstractNumId="16" w15:restartNumberingAfterBreak="0">
    <w:nsid w:val="77A6669E"/>
    <w:multiLevelType w:val="hybridMultilevel"/>
    <w:tmpl w:val="1E32DEB6"/>
    <w:lvl w:ilvl="0" w:tplc="249A8BB8">
      <w:start w:val="1"/>
      <w:numFmt w:val="taiwaneseCountingThousand"/>
      <w:lvlText w:val="%1、"/>
      <w:lvlJc w:val="left"/>
      <w:pPr>
        <w:tabs>
          <w:tab w:val="num" w:pos="1584"/>
        </w:tabs>
        <w:ind w:left="1584"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DC07E3A"/>
    <w:multiLevelType w:val="hybridMultilevel"/>
    <w:tmpl w:val="61B0219E"/>
    <w:lvl w:ilvl="0" w:tplc="18827F4A">
      <w:start w:val="1"/>
      <w:numFmt w:val="taiwaneseCountingThousand"/>
      <w:lvlText w:val="%1、"/>
      <w:lvlJc w:val="left"/>
      <w:pPr>
        <w:tabs>
          <w:tab w:val="num" w:pos="1584"/>
        </w:tabs>
        <w:ind w:left="1584"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1"/>
  </w:num>
  <w:num w:numId="3">
    <w:abstractNumId w:val="10"/>
  </w:num>
  <w:num w:numId="4">
    <w:abstractNumId w:val="14"/>
  </w:num>
  <w:num w:numId="5">
    <w:abstractNumId w:val="9"/>
  </w:num>
  <w:num w:numId="6">
    <w:abstractNumId w:val="12"/>
  </w:num>
  <w:num w:numId="7">
    <w:abstractNumId w:val="17"/>
  </w:num>
  <w:num w:numId="8">
    <w:abstractNumId w:val="7"/>
  </w:num>
  <w:num w:numId="9">
    <w:abstractNumId w:val="16"/>
  </w:num>
  <w:num w:numId="10">
    <w:abstractNumId w:val="10"/>
    <w:lvlOverride w:ilvl="0">
      <w:startOverride w:val="1"/>
    </w:lvlOverride>
  </w:num>
  <w:num w:numId="11">
    <w:abstractNumId w:val="13"/>
  </w:num>
  <w:num w:numId="12">
    <w:abstractNumId w:val="4"/>
  </w:num>
  <w:num w:numId="13">
    <w:abstractNumId w:val="0"/>
  </w:num>
  <w:num w:numId="14">
    <w:abstractNumId w:val="2"/>
  </w:num>
  <w:num w:numId="15">
    <w:abstractNumId w:val="5"/>
  </w:num>
  <w:num w:numId="16">
    <w:abstractNumId w:val="3"/>
  </w:num>
  <w:num w:numId="17">
    <w:abstractNumId w:val="1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DF"/>
    <w:rsid w:val="00071C11"/>
    <w:rsid w:val="000B1BDF"/>
    <w:rsid w:val="002807F6"/>
    <w:rsid w:val="002E75E5"/>
    <w:rsid w:val="00363027"/>
    <w:rsid w:val="00480B74"/>
    <w:rsid w:val="005D523B"/>
    <w:rsid w:val="00864A24"/>
    <w:rsid w:val="00A107D5"/>
    <w:rsid w:val="00A3655D"/>
    <w:rsid w:val="00B778F0"/>
    <w:rsid w:val="00BF5FE7"/>
    <w:rsid w:val="00E03FF0"/>
    <w:rsid w:val="00ED6250"/>
    <w:rsid w:val="00FD73D0"/>
    <w:rsid w:val="00FE0E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9978"/>
  <w15:chartTrackingRefBased/>
  <w15:docId w15:val="{53522C02-EDF1-4426-99A1-D01860B7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BDF"/>
    <w:pPr>
      <w:widowControl w:val="0"/>
    </w:pPr>
    <w:rPr>
      <w:rFonts w:ascii="Times New Roman" w:eastAsia="標楷體" w:hAnsi="Times New Roman" w:cs="Times New Roman"/>
      <w:szCs w:val="24"/>
    </w:rPr>
  </w:style>
  <w:style w:type="paragraph" w:styleId="2">
    <w:name w:val="heading 2"/>
    <w:basedOn w:val="a"/>
    <w:next w:val="a"/>
    <w:link w:val="20"/>
    <w:autoRedefine/>
    <w:qFormat/>
    <w:rsid w:val="00ED6250"/>
    <w:pPr>
      <w:adjustRightInd w:val="0"/>
      <w:snapToGrid w:val="0"/>
      <w:spacing w:beforeLines="50" w:before="180" w:afterLines="50" w:after="180"/>
      <w:jc w:val="center"/>
      <w:outlineLvl w:val="1"/>
    </w:pPr>
    <w:rPr>
      <w:rFonts w:ascii="標楷體" w:hAnsi="標楷體"/>
      <w:b/>
      <w:kern w:val="0"/>
      <w:sz w:val="32"/>
      <w:szCs w:val="32"/>
      <w:lang w:val="zh-TW"/>
    </w:rPr>
  </w:style>
  <w:style w:type="paragraph" w:styleId="3">
    <w:name w:val="heading 3"/>
    <w:basedOn w:val="a"/>
    <w:next w:val="a"/>
    <w:link w:val="30"/>
    <w:uiPriority w:val="9"/>
    <w:semiHidden/>
    <w:unhideWhenUsed/>
    <w:qFormat/>
    <w:rsid w:val="00480B7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ED6250"/>
    <w:rPr>
      <w:rFonts w:ascii="標楷體" w:eastAsia="標楷體" w:hAnsi="標楷體" w:cs="Times New Roman"/>
      <w:b/>
      <w:kern w:val="0"/>
      <w:sz w:val="32"/>
      <w:szCs w:val="32"/>
      <w:lang w:val="zh-TW"/>
    </w:rPr>
  </w:style>
  <w:style w:type="paragraph" w:styleId="a3">
    <w:name w:val="header"/>
    <w:basedOn w:val="a"/>
    <w:link w:val="a4"/>
    <w:rsid w:val="000B1BDF"/>
    <w:pPr>
      <w:tabs>
        <w:tab w:val="center" w:pos="4153"/>
        <w:tab w:val="right" w:pos="8306"/>
      </w:tabs>
      <w:snapToGrid w:val="0"/>
    </w:pPr>
    <w:rPr>
      <w:sz w:val="20"/>
      <w:szCs w:val="20"/>
    </w:rPr>
  </w:style>
  <w:style w:type="character" w:customStyle="1" w:styleId="a4">
    <w:name w:val="頁首 字元"/>
    <w:basedOn w:val="a0"/>
    <w:link w:val="a3"/>
    <w:rsid w:val="000B1BDF"/>
    <w:rPr>
      <w:rFonts w:ascii="Times New Roman" w:eastAsia="標楷體" w:hAnsi="Times New Roman" w:cs="Times New Roman"/>
      <w:sz w:val="20"/>
      <w:szCs w:val="20"/>
    </w:rPr>
  </w:style>
  <w:style w:type="paragraph" w:customStyle="1" w:styleId="0-1">
    <w:name w:val="內文0-1"/>
    <w:basedOn w:val="2"/>
    <w:rsid w:val="000B1BDF"/>
    <w:pPr>
      <w:widowControl/>
      <w:numPr>
        <w:ilvl w:val="1"/>
      </w:numPr>
      <w:tabs>
        <w:tab w:val="left" w:leader="dot" w:pos="8179"/>
      </w:tabs>
      <w:autoSpaceDE w:val="0"/>
      <w:autoSpaceDN w:val="0"/>
      <w:snapToGrid/>
      <w:spacing w:before="0" w:afterLines="25" w:after="0" w:line="440" w:lineRule="exact"/>
      <w:ind w:left="720" w:hangingChars="225" w:hanging="720"/>
      <w:jc w:val="both"/>
      <w:textAlignment w:val="bottom"/>
    </w:pPr>
    <w:rPr>
      <w:rFonts w:hAnsi="Times New Roman"/>
      <w:b w:val="0"/>
      <w:szCs w:val="20"/>
      <w:lang w:val="en-US"/>
    </w:rPr>
  </w:style>
  <w:style w:type="numbering" w:customStyle="1" w:styleId="WWNum14">
    <w:name w:val="WWNum14"/>
    <w:basedOn w:val="a2"/>
    <w:rsid w:val="00363027"/>
    <w:pPr>
      <w:numPr>
        <w:numId w:val="5"/>
      </w:numPr>
    </w:pPr>
  </w:style>
  <w:style w:type="character" w:customStyle="1" w:styleId="30">
    <w:name w:val="標題 3 字元"/>
    <w:basedOn w:val="a0"/>
    <w:link w:val="3"/>
    <w:uiPriority w:val="9"/>
    <w:semiHidden/>
    <w:rsid w:val="00480B74"/>
    <w:rPr>
      <w:rFonts w:asciiTheme="majorHAnsi" w:eastAsiaTheme="majorEastAsia" w:hAnsiTheme="majorHAnsi" w:cstheme="majorBidi"/>
      <w:b/>
      <w:bCs/>
      <w:sz w:val="36"/>
      <w:szCs w:val="36"/>
    </w:rPr>
  </w:style>
  <w:style w:type="paragraph" w:styleId="Web">
    <w:name w:val="Normal (Web)"/>
    <w:basedOn w:val="a"/>
    <w:uiPriority w:val="99"/>
    <w:semiHidden/>
    <w:unhideWhenUsed/>
    <w:rsid w:val="002E75E5"/>
    <w:pPr>
      <w:widowControl/>
      <w:spacing w:before="100" w:beforeAutospacing="1" w:after="100" w:afterAutospacing="1"/>
    </w:pPr>
    <w:rPr>
      <w:rFonts w:ascii="新細明體" w:eastAsia="新細明體" w:hAnsi="新細明體" w:cs="新細明體"/>
      <w:kern w:val="0"/>
    </w:rPr>
  </w:style>
  <w:style w:type="character" w:styleId="a5">
    <w:name w:val="Strong"/>
    <w:basedOn w:val="a0"/>
    <w:uiPriority w:val="22"/>
    <w:qFormat/>
    <w:rsid w:val="002E75E5"/>
    <w:rPr>
      <w:b/>
      <w:bCs/>
    </w:rPr>
  </w:style>
  <w:style w:type="paragraph" w:styleId="a6">
    <w:name w:val="List Paragraph"/>
    <w:basedOn w:val="a"/>
    <w:uiPriority w:val="34"/>
    <w:qFormat/>
    <w:rsid w:val="002E75E5"/>
    <w:pPr>
      <w:ind w:leftChars="200" w:left="480"/>
    </w:pPr>
  </w:style>
  <w:style w:type="paragraph" w:styleId="a7">
    <w:name w:val="Revision"/>
    <w:hidden/>
    <w:uiPriority w:val="99"/>
    <w:semiHidden/>
    <w:rsid w:val="00B778F0"/>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97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林雅雯</dc:creator>
  <cp:keywords/>
  <dc:description/>
  <cp:lastModifiedBy>林雅雯</cp:lastModifiedBy>
  <cp:revision>2</cp:revision>
  <dcterms:created xsi:type="dcterms:W3CDTF">2025-01-10T01:08:00Z</dcterms:created>
  <dcterms:modified xsi:type="dcterms:W3CDTF">2025-01-10T01:08:00Z</dcterms:modified>
</cp:coreProperties>
</file>